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D8" w:rsidRPr="0086490C" w:rsidRDefault="002577D8" w:rsidP="002577D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6490C">
        <w:rPr>
          <w:rFonts w:ascii="Arial" w:eastAsia="Times New Roman" w:hAnsi="Arial" w:cs="Arial"/>
          <w:b/>
          <w:color w:val="222222"/>
          <w:sz w:val="28"/>
          <w:szCs w:val="24"/>
          <w:shd w:val="clear" w:color="auto" w:fill="FFFFFF"/>
        </w:rPr>
        <w:t xml:space="preserve">Welcome!  </w:t>
      </w:r>
      <w:r w:rsidRPr="0086490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Thank you for choosing to work with the </w:t>
      </w:r>
      <w:proofErr w:type="spellStart"/>
      <w:r w:rsidR="00EF692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</w:t>
      </w:r>
      <w:r w:rsidR="00BC428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Health</w:t>
      </w:r>
      <w:proofErr w:type="spellEnd"/>
      <w:r w:rsidR="00BC428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CRU </w:t>
      </w:r>
      <w:r w:rsidR="001F0A9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for </w:t>
      </w:r>
      <w:r w:rsidRPr="0086490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your research.</w:t>
      </w:r>
    </w:p>
    <w:p w:rsidR="002577D8" w:rsidRPr="00DE53DC" w:rsidRDefault="002577D8" w:rsidP="002577D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:rsidR="002577D8" w:rsidRDefault="002577D8" w:rsidP="002577D8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2577D8">
        <w:rPr>
          <w:rFonts w:ascii="Arial" w:eastAsia="Times New Roman" w:hAnsi="Arial" w:cs="Arial"/>
          <w:color w:val="222222"/>
        </w:rPr>
        <w:t>We know that you are anxious to get started on your research study.  </w:t>
      </w:r>
      <w:r w:rsidR="00BC428A">
        <w:rPr>
          <w:rFonts w:ascii="Arial" w:eastAsia="Times New Roman" w:hAnsi="Arial" w:cs="Arial"/>
          <w:color w:val="222222"/>
        </w:rPr>
        <w:t>We</w:t>
      </w:r>
      <w:r w:rsidRPr="002577D8">
        <w:rPr>
          <w:rFonts w:ascii="Arial" w:eastAsia="Times New Roman" w:hAnsi="Arial" w:cs="Arial"/>
          <w:color w:val="222222"/>
        </w:rPr>
        <w:t xml:space="preserve"> want to </w:t>
      </w:r>
      <w:r w:rsidR="00ED2283">
        <w:rPr>
          <w:rFonts w:ascii="Arial" w:eastAsia="Times New Roman" w:hAnsi="Arial" w:cs="Arial"/>
          <w:color w:val="222222"/>
        </w:rPr>
        <w:t xml:space="preserve">set your study up </w:t>
      </w:r>
      <w:r w:rsidRPr="002577D8">
        <w:rPr>
          <w:rFonts w:ascii="Arial" w:eastAsia="Times New Roman" w:hAnsi="Arial" w:cs="Arial"/>
          <w:color w:val="222222"/>
        </w:rPr>
        <w:t>as efficiently as possible while ensuring the highest quality &amp; integrity in the services we provide.  </w:t>
      </w:r>
      <w:r w:rsidR="00ED2283">
        <w:rPr>
          <w:rFonts w:ascii="Arial" w:eastAsia="Times New Roman" w:hAnsi="Arial" w:cs="Arial"/>
          <w:color w:val="222222"/>
        </w:rPr>
        <w:t>Our study set-up process is summarized below</w:t>
      </w:r>
      <w:r w:rsidR="00721050">
        <w:rPr>
          <w:rFonts w:ascii="Arial" w:eastAsia="Times New Roman" w:hAnsi="Arial" w:cs="Arial"/>
          <w:color w:val="222222"/>
        </w:rPr>
        <w:t xml:space="preserve">.  </w:t>
      </w:r>
      <w:r w:rsidR="00BC428A">
        <w:rPr>
          <w:rFonts w:ascii="Arial" w:eastAsia="Times New Roman" w:hAnsi="Arial" w:cs="Arial"/>
          <w:color w:val="222222"/>
        </w:rPr>
        <w:t xml:space="preserve">We </w:t>
      </w:r>
      <w:r w:rsidR="00C2646C">
        <w:rPr>
          <w:rFonts w:ascii="Arial" w:eastAsia="Times New Roman" w:hAnsi="Arial" w:cs="Arial"/>
          <w:color w:val="222222"/>
        </w:rPr>
        <w:t xml:space="preserve">will help guide you </w:t>
      </w:r>
      <w:r w:rsidR="000C4393">
        <w:rPr>
          <w:rFonts w:ascii="Arial" w:eastAsia="Times New Roman" w:hAnsi="Arial" w:cs="Arial"/>
          <w:color w:val="222222"/>
        </w:rPr>
        <w:t>through each step.</w:t>
      </w:r>
    </w:p>
    <w:p w:rsidR="001C45D5" w:rsidRDefault="001C45D5" w:rsidP="002577D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8759A" w:rsidRPr="00A61D79" w:rsidRDefault="00A8759A" w:rsidP="002577D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86490C" w:rsidRPr="001C45D5" w:rsidRDefault="0086490C" w:rsidP="002577D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1C45D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What is the Process to Get a Study Set-Up to Use </w:t>
      </w:r>
      <w:r w:rsidR="00BC428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the CRU</w:t>
      </w:r>
      <w:r w:rsidRPr="001C45D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?</w:t>
      </w:r>
    </w:p>
    <w:p w:rsidR="00883290" w:rsidRPr="001C45D5" w:rsidRDefault="00883290" w:rsidP="002577D8">
      <w:pPr>
        <w:spacing w:after="0" w:line="240" w:lineRule="auto"/>
        <w:rPr>
          <w:rFonts w:ascii="Arial" w:eastAsia="Times New Roman" w:hAnsi="Arial" w:cs="Arial"/>
          <w:color w:val="222222"/>
          <w:sz w:val="8"/>
          <w:szCs w:val="24"/>
          <w:u w:val="single"/>
        </w:rPr>
      </w:pPr>
    </w:p>
    <w:p w:rsidR="00883290" w:rsidRDefault="00256DFE" w:rsidP="00257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19C4CC" wp14:editId="199F86B3">
                <wp:simplePos x="0" y="0"/>
                <wp:positionH relativeFrom="column">
                  <wp:posOffset>805180</wp:posOffset>
                </wp:positionH>
                <wp:positionV relativeFrom="paragraph">
                  <wp:posOffset>50165</wp:posOffset>
                </wp:positionV>
                <wp:extent cx="8220075" cy="533400"/>
                <wp:effectExtent l="14605" t="65405" r="13970" b="679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0075" cy="533400"/>
                          <a:chOff x="0" y="0"/>
                          <a:chExt cx="69466" cy="533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21" cy="5334"/>
                            <a:chOff x="-95" y="0"/>
                            <a:chExt cx="17621" cy="4334"/>
                          </a:xfrm>
                        </wpg:grpSpPr>
                        <wps:wsp>
                          <wps:cNvPr id="4" name="Rounded 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-95" y="0"/>
                              <a:ext cx="15335" cy="43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290" w:rsidRPr="00951419" w:rsidRDefault="00883290" w:rsidP="00883290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51419">
                                  <w:rPr>
                                    <w:color w:val="FFFFFF" w:themeColor="background1"/>
                                    <w:sz w:val="24"/>
                                  </w:rPr>
                                  <w:t>Understand Your Study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ight Arrow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5" y="428"/>
                              <a:ext cx="2191" cy="3906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8097" y="0"/>
                            <a:ext cx="17526" cy="5334"/>
                            <a:chOff x="0" y="0"/>
                            <a:chExt cx="17526" cy="4333"/>
                          </a:xfrm>
                        </wpg:grpSpPr>
                        <wps:wsp>
                          <wps:cNvPr id="8" name="Rounded 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5" cy="43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290" w:rsidRPr="00951419" w:rsidRDefault="00883290" w:rsidP="00883290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951419">
                                  <w:rPr>
                                    <w:color w:val="FFFFFF" w:themeColor="background1"/>
                                  </w:rPr>
                                  <w:t>Prepare Stud</w:t>
                                </w:r>
                                <w:r w:rsidRPr="00951419">
                                  <w:rPr>
                                    <w:color w:val="FFFFFF" w:themeColor="background1"/>
                                    <w:sz w:val="24"/>
                                  </w:rPr>
                                  <w:t>y</w:t>
                                </w:r>
                                <w:r w:rsidRPr="00951419">
                                  <w:rPr>
                                    <w:color w:val="FFFFFF" w:themeColor="background1"/>
                                  </w:rPr>
                                  <w:t xml:space="preserve"> Training and Visit Materials</w:t>
                                </w:r>
                              </w:p>
                              <w:p w:rsidR="00883290" w:rsidRPr="00951419" w:rsidRDefault="00883290" w:rsidP="00883290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ight Arrow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5" y="0"/>
                              <a:ext cx="2190" cy="3905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36099" y="0"/>
                            <a:ext cx="17526" cy="5334"/>
                            <a:chOff x="0" y="0"/>
                            <a:chExt cx="17526" cy="4333"/>
                          </a:xfrm>
                        </wpg:grpSpPr>
                        <wps:wsp>
                          <wps:cNvPr id="11" name="Rounded 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5" cy="43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290" w:rsidRPr="00951419" w:rsidRDefault="00ED2283" w:rsidP="00883290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951419">
                                  <w:rPr>
                                    <w:color w:val="FFFFFF" w:themeColor="background1"/>
                                    <w:sz w:val="24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ight Arrow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5" y="1"/>
                              <a:ext cx="2191" cy="3905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54131" y="0"/>
                            <a:ext cx="15335" cy="5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3290" w:rsidRPr="00951419" w:rsidRDefault="00883290" w:rsidP="0088329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51419">
                                <w:rPr>
                                  <w:color w:val="FFFFFF" w:themeColor="background1"/>
                                  <w:sz w:val="24"/>
                                </w:rPr>
                                <w:t>Schedule and Conduct Visits!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4pt;margin-top:3.95pt;width:647.25pt;height:42pt;z-index:251672576;mso-width-relative:margin;mso-height-relative:margin" coordsize="6946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">
                <v:group id="Group 9" o:spid="_x0000_s1027" style="position:absolute;width:17621;height:5334" coordorigin="-95" coordsize="17621,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" o:spid="_x0000_s1028" style="position:absolute;left:-95;width:15335;height:4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3DMQA&#10;AADaAAAADwAAAGRycy9kb3ducmV2LnhtbESPT2sCMRTE74V+h/AKXopmK/7r1ihFKOpRK+jxuXnu&#10;brt5WZK4bv30RhB6HGbmN8x03ppKNOR8aVnBWy8BQZxZXXKuYPf91Z2A8AFZY2WZFPyRh/ns+WmK&#10;qbYX3lCzDbmIEPYpKihCqFMpfVaQQd+zNXH0TtYZDFG6XGqHlwg3lewnyUgaLDkuFFjToqDsd3s2&#10;CrL90b0PD+vBsnHj6+nVLyejH1aq89J+foAI1Ib/8KO90go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twzEAAAA2gAAAA8AAAAAAAAAAAAAAAAAmAIAAGRycy9k&#10;b3ducmV2LnhtbFBLBQYAAAAABAAEAPUAAACJAwAAAAA=&#10;" fillcolor="#c0504d [3205]" strokecolor="#622423 [1605]" strokeweight="2pt">
                    <v:textbox>
                      <w:txbxContent>
                        <w:p w:rsidR="00883290" w:rsidRPr="00951419" w:rsidRDefault="00883290" w:rsidP="0088329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951419">
                            <w:rPr>
                              <w:color w:val="FFFFFF" w:themeColor="background1"/>
                              <w:sz w:val="24"/>
                            </w:rPr>
                            <w:t>Understand Your Study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8" o:spid="_x0000_s1029" type="#_x0000_t13" style="position:absolute;left:15335;top:428;width:2191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BTMQA&#10;AADaAAAADwAAAGRycy9kb3ducmV2LnhtbESPQWvCQBSE74L/YXmF3nQTD9pGN0ECggWRNin0+pp9&#10;ZkOzb0N21fTfdwuFHoeZ+YbZFZPtxY1G3zlWkC4TEMSN0x23Ct7rw+IJhA/IGnvHpOCbPBT5fLbD&#10;TLs7v9GtCq2IEPYZKjAhDJmUvjFk0S/dQBy9ixsthijHVuoR7xFue7lKkrW02HFcMDhQaaj5qq5W&#10;wWv5cU5fNun+YM7P3elzU5f9qVbq8WHab0EEmsJ/+K991ArW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4AUzEAAAA2gAAAA8AAAAAAAAAAAAAAAAAmAIAAGRycy9k&#10;b3ducmV2LnhtbFBLBQYAAAAABAAEAPUAAACJAwAAAAA=&#10;" adj="10800" fillcolor="#622423 [1605]" strokecolor="#622423 [1605]" strokeweight="2pt"/>
                </v:group>
                <v:group id="Group 10" o:spid="_x0000_s1030" style="position:absolute;left:18097;width:17526;height:5334" coordsize="17526,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11" o:spid="_x0000_s1031" style="position:absolute;width:15335;height:4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tJsAA&#10;AADaAAAADwAAAGRycy9kb3ducmV2LnhtbERPzWrCQBC+C32HZQq96aaFSk2zkVIoVD1I1QcYs9Mk&#10;NDubZlddfXrnIHj8+P6LeXKdOtIQWs8GnicZKOLK25ZrA7vt1/gNVIjIFjvPZOBMAeblw6jA3PoT&#10;/9BxE2slIRxyNNDE2Odah6ohh2Hie2Lhfv3gMAocam0HPEm46/RLlk21w5alocGePhuq/jYHJyX7&#10;Zdq1/T9d1qu0n62ni5StXo15ekwf76AipXgX39zf1oBslStyA3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stJsAAAADaAAAADwAAAAAAAAAAAAAAAACYAgAAZHJzL2Rvd25y&#10;ZXYueG1sUEsFBgAAAAAEAAQA9QAAAIUDAAAAAA==&#10;" fillcolor="#8064a2 [3207]" strokecolor="#3f3151 [1607]" strokeweight="2pt">
                    <v:textbox>
                      <w:txbxContent>
                        <w:p w:rsidR="00883290" w:rsidRPr="00951419" w:rsidRDefault="00883290" w:rsidP="0088329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51419">
                            <w:rPr>
                              <w:color w:val="FFFFFF" w:themeColor="background1"/>
                            </w:rPr>
                            <w:t>Prepare Stud</w:t>
                          </w:r>
                          <w:r w:rsidRPr="00951419">
                            <w:rPr>
                              <w:color w:val="FFFFFF" w:themeColor="background1"/>
                              <w:sz w:val="24"/>
                            </w:rPr>
                            <w:t>y</w:t>
                          </w:r>
                          <w:r w:rsidRPr="00951419">
                            <w:rPr>
                              <w:color w:val="FFFFFF" w:themeColor="background1"/>
                            </w:rPr>
                            <w:t xml:space="preserve"> Training and Visit Materials</w:t>
                          </w:r>
                        </w:p>
                        <w:p w:rsidR="00883290" w:rsidRPr="00951419" w:rsidRDefault="00883290" w:rsidP="0088329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shape id="Right Arrow 12" o:spid="_x0000_s1032" type="#_x0000_t13" style="position:absolute;left:15335;width:21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WYMEA&#10;AADaAAAADwAAAGRycy9kb3ducmV2LnhtbESPQYvCMBSE78L+h/AWvMia6kG0ayzLotDLHrT+gGfz&#10;bIvNS0lSW//9RhA8DjPzDbPNRtOKOznfWFawmCcgiEurG64UnIvD1xqED8gaW8uk4EEest3HZIup&#10;tgMf6X4KlYgQ9ikqqEPoUil9WZNBP7cdcfSu1hkMUbpKaodDhJtWLpNkJQ02HBdq7Oi3pvJ26o2C&#10;w6W9/M1WA+65GI5lP+bLwuVKTT/Hn28QgcbwDr/auVawgeeVe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o1mDBAAAA2gAAAA8AAAAAAAAAAAAAAAAAmAIAAGRycy9kb3du&#10;cmV2LnhtbFBLBQYAAAAABAAEAPUAAACGAwAAAAA=&#10;" adj="10800" fillcolor="#3f3151 [1607]" strokecolor="#3f3151 [1607]" strokeweight="2pt"/>
                </v:group>
                <v:group id="Group 14" o:spid="_x0000_s1033" style="position:absolute;left:36099;width:17526;height:5334" coordsize="17526,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5" o:spid="_x0000_s1034" style="position:absolute;width:15335;height:4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883290" w:rsidRPr="00951419" w:rsidRDefault="00ED2283" w:rsidP="0088329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951419">
                            <w:rPr>
                              <w:color w:val="FFFFFF" w:themeColor="background1"/>
                              <w:sz w:val="24"/>
                            </w:rPr>
                            <w:t>Training</w:t>
                          </w:r>
                        </w:p>
                      </w:txbxContent>
                    </v:textbox>
                  </v:roundrect>
                  <v:shape id="Right Arrow 16" o:spid="_x0000_s1035" type="#_x0000_t13" style="position:absolute;left:15335;top:1;width:219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gcMIA&#10;AADbAAAADwAAAGRycy9kb3ducmV2LnhtbERPS2vCQBC+F/oflin0IrrR1gfRVbQgqAfRKJ6H7JgE&#10;s7Mhu9Xk37sFobf5+J4zWzSmFHeqXWFZQb8XgSBOrS44U3A+rbsTEM4jaywtk4KWHCzm728zjLV9&#10;8JHuic9ECGEXo4Lc+yqW0qU5GXQ9WxEH7mprgz7AOpO6xkcIN6UcRNFIGiw4NORY0U9O6S35NQoO&#10;t6/her9q2s5ubDffF2y3vEyU+vxollMQnhr/L365NzrMH8Df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CBwwgAAANsAAAAPAAAAAAAAAAAAAAAAAJgCAABkcnMvZG93&#10;bnJldi54bWxQSwUGAAAAAAQABAD1AAAAhwMAAAAA&#10;" adj="10800" fillcolor="#243f60 [1604]" strokecolor="#243f60 [1604]" strokeweight="2pt"/>
                </v:group>
                <v:roundrect id="Rounded Rectangle 18" o:spid="_x0000_s1036" style="position:absolute;left:54131;width:15335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AJcIA&#10;AADbAAAADwAAAGRycy9kb3ducmV2LnhtbERPTWvCQBC9C/6HZYTezMamiMSsUgVtLx7UgvQ2ZMck&#10;NDsbs9sk/fddQfA2j/c52XowteiodZVlBbMoBkGcW11xoeDrvJsuQDiPrLG2TAr+yMF6NR5lmGrb&#10;85G6ky9ECGGXooLS+yaV0uUlGXSRbYgDd7WtQR9gW0jdYh/CTS1f43guDVYcGkpsaFtS/nP6NQr2&#10;s83tu8d5vN0d5ILx43LZvyVKvUyG9yUIT4N/ih/uTx3mJ3D/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MAlwgAAANsAAAAPAAAAAAAAAAAAAAAAAJgCAABkcnMvZG93&#10;bnJldi54bWxQSwUGAAAAAAQABAD1AAAAhwMAAAAA&#10;" fillcolor="#9bbb59 [3206]" strokecolor="#4e6128 [1606]" strokeweight="2pt">
                  <v:textbox>
                    <w:txbxContent>
                      <w:p w:rsidR="00883290" w:rsidRPr="00951419" w:rsidRDefault="00883290" w:rsidP="00883290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951419">
                          <w:rPr>
                            <w:color w:val="FFFFFF" w:themeColor="background1"/>
                            <w:sz w:val="24"/>
                          </w:rPr>
                          <w:t>Schedule and Conduct Visits!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4797A" w:rsidRPr="0086490C" w:rsidRDefault="00A4797A" w:rsidP="00257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2577D8" w:rsidRDefault="002577D8" w:rsidP="00257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45D5" w:rsidRPr="001C45D5" w:rsidRDefault="001C45D5" w:rsidP="002577D8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3510"/>
        <w:gridCol w:w="3240"/>
        <w:gridCol w:w="3150"/>
      </w:tblGrid>
      <w:tr w:rsidR="001C45D5" w:rsidTr="008C0C0C">
        <w:trPr>
          <w:trHeight w:val="16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290" w:rsidRPr="00BD7B28" w:rsidRDefault="00BD7B28" w:rsidP="00BD7B28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What Should I Expect?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83290" w:rsidRPr="00BD7B28" w:rsidRDefault="00DC3A95" w:rsidP="00DC3A95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Please send us your source documents once drafted.  Templates of the CRU required format are provided for your convenience.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883290" w:rsidRPr="00BD7B28" w:rsidRDefault="008C0C0C" w:rsidP="00BC428A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We</w:t>
            </w:r>
            <w:r w:rsidR="00BD7B2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will work to ensure your study materials are ready for training and visits.</w:t>
            </w:r>
            <w:r w:rsidR="00B176B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 This includes:  preparing a protocol training summary, </w:t>
            </w:r>
            <w:r w:rsidR="00ED228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re-formatting </w:t>
            </w:r>
            <w:r w:rsidR="00B176B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your study </w:t>
            </w:r>
            <w:r w:rsidR="001F0A9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source documents</w:t>
            </w:r>
            <w:r w:rsidR="00B176B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into the CR</w:t>
            </w:r>
            <w:r w:rsidR="00BC428A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U</w:t>
            </w:r>
            <w:r w:rsidR="00B176B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template</w:t>
            </w:r>
            <w:r w:rsidR="001F0A9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*</w:t>
            </w:r>
            <w:r w:rsidR="00BC428A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, and preparing </w:t>
            </w:r>
            <w:r w:rsidR="00B176B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lab processing documents </w:t>
            </w:r>
            <w:r w:rsidR="00B176B4" w:rsidRPr="00B176B4">
              <w:rPr>
                <w:rFonts w:ascii="Arial" w:eastAsia="Times New Roman" w:hAnsi="Arial" w:cs="Arial"/>
                <w:i/>
                <w:color w:val="222222"/>
                <w:sz w:val="14"/>
                <w:szCs w:val="24"/>
              </w:rPr>
              <w:t>(if applicable).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176B4" w:rsidRPr="00BD7B28" w:rsidRDefault="00BC428A" w:rsidP="00BC428A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CRU s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taff </w:t>
            </w:r>
            <w:r w:rsidR="00721050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review</w:t>
            </w: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all protocols</w:t>
            </w:r>
            <w:r w:rsidR="00721050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before working on a study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. You </w:t>
            </w: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will 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also be asked to present a study in</w:t>
            </w:r>
            <w:r w:rsidR="00721050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-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service as needed to ensure that </w:t>
            </w: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CRU</w:t>
            </w:r>
            <w:r w:rsidR="00ED228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</w:t>
            </w:r>
            <w:proofErr w:type="gramStart"/>
            <w:r w:rsidR="00ED228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staff  understand</w:t>
            </w:r>
            <w:r w:rsidR="00721050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</w:t>
            </w:r>
            <w:proofErr w:type="gramEnd"/>
            <w:r w:rsidR="00627D4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</w:t>
            </w:r>
            <w:r w:rsidR="00ED2283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your study</w:t>
            </w:r>
            <w:r w:rsidR="00B81CD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, source documents and lab processing instructions.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83290" w:rsidRDefault="00B176B4" w:rsidP="008C0C0C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Once </w:t>
            </w:r>
            <w:r w:rsidR="00D16B36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training</w:t>
            </w: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is complete, you can schedule visits!</w:t>
            </w:r>
          </w:p>
          <w:p w:rsidR="00B176B4" w:rsidRDefault="00B176B4" w:rsidP="008C0C0C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</w:p>
          <w:p w:rsidR="00B176B4" w:rsidRPr="00BD7B28" w:rsidRDefault="00B176B4" w:rsidP="00BC428A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If you need a facility tour</w:t>
            </w:r>
            <w:r w:rsidR="00BC428A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or scheduling system training please let us know!</w:t>
            </w:r>
          </w:p>
        </w:tc>
      </w:tr>
      <w:tr w:rsidR="00655C44" w:rsidTr="00655C44">
        <w:trPr>
          <w:trHeight w:val="9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28" w:rsidRPr="00BD7B28" w:rsidRDefault="00BD7B28" w:rsidP="007658F2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D7B28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What is Required?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BD7B28" w:rsidRPr="00BD7B28" w:rsidRDefault="00BD7B28" w:rsidP="007658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BD7B2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Current Study Protocol</w:t>
            </w:r>
          </w:p>
          <w:p w:rsidR="00BD7B28" w:rsidRDefault="00BD7B28" w:rsidP="00BC428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BD7B28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Identification </w:t>
            </w:r>
            <w:r w:rsidR="00BC428A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what visits/procedures will occur in the CRU</w:t>
            </w:r>
          </w:p>
          <w:p w:rsidR="00DC3A95" w:rsidRPr="00BC428A" w:rsidRDefault="00DC3A95" w:rsidP="00BC428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Draft of Source documents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D7B28" w:rsidRDefault="00B176B4" w:rsidP="00B176B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Study Source Documents</w:t>
            </w:r>
          </w:p>
          <w:p w:rsidR="00B176B4" w:rsidRPr="00B176B4" w:rsidRDefault="00B176B4" w:rsidP="00B176B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Study Lab Processing Manuals/Instructions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45E0B" w:rsidRDefault="00BC428A" w:rsidP="001C45D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IRB supplement (if applicable)</w:t>
            </w:r>
          </w:p>
          <w:p w:rsidR="00BD7B28" w:rsidRDefault="00B176B4" w:rsidP="001C45D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IRB Approval</w:t>
            </w:r>
          </w:p>
          <w:p w:rsidR="00BC428A" w:rsidRDefault="00BC428A" w:rsidP="001C45D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IRB approved ICF</w:t>
            </w:r>
          </w:p>
          <w:p w:rsidR="00B176B4" w:rsidRDefault="00B176B4" w:rsidP="001C45D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Completed Source Documents, Lab Processing Instructions</w:t>
            </w:r>
          </w:p>
          <w:p w:rsidR="00B06DE5" w:rsidRPr="00B176B4" w:rsidRDefault="00B81CD8" w:rsidP="001C45D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Approval of </w:t>
            </w:r>
            <w:r w:rsidR="00B06DE5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Protocol Training Summary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7B28" w:rsidRPr="00BC428A" w:rsidRDefault="00B176B4" w:rsidP="00C5151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C428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For each visit, you will need to upload the source documents with the appointment.</w:t>
            </w:r>
            <w:r w:rsidR="005F7A11" w:rsidRPr="00BC428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</w:t>
            </w:r>
            <w:r w:rsidR="005F7A11" w:rsidRPr="00BC42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</w:t>
            </w:r>
            <w:r w:rsidR="00C5151D" w:rsidRPr="00BC42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PI or designee </w:t>
            </w:r>
            <w:r w:rsidR="005F7A11" w:rsidRPr="00BC428A">
              <w:rPr>
                <w:rFonts w:ascii="Arial" w:eastAsia="Times New Roman" w:hAnsi="Arial" w:cs="Arial"/>
                <w:b/>
                <w:sz w:val="18"/>
                <w:szCs w:val="18"/>
              </w:rPr>
              <w:t>will be responsible for ensuring that all documents uploaded to the scheduling system are correct.</w:t>
            </w:r>
          </w:p>
          <w:p w:rsidR="00BC428A" w:rsidRPr="00BC428A" w:rsidRDefault="00BC428A" w:rsidP="00C5151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C428A">
              <w:rPr>
                <w:rFonts w:ascii="Arial" w:eastAsia="Times New Roman" w:hAnsi="Arial" w:cs="Arial"/>
                <w:sz w:val="18"/>
                <w:szCs w:val="18"/>
              </w:rPr>
              <w:t>Signed Consent Form (for screening visits the ICF can be provided at the time of the visit)</w:t>
            </w:r>
          </w:p>
          <w:p w:rsidR="00BC428A" w:rsidRPr="00B176B4" w:rsidRDefault="00BC428A" w:rsidP="00C5151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BC428A">
              <w:rPr>
                <w:rFonts w:ascii="Arial" w:eastAsia="Times New Roman" w:hAnsi="Arial" w:cs="Arial"/>
                <w:sz w:val="18"/>
                <w:szCs w:val="18"/>
              </w:rPr>
              <w:t>Medical Record Number (MRN)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86490C" w:rsidRPr="00B176B4" w:rsidRDefault="00B176B4" w:rsidP="001C45D5">
      <w:pPr>
        <w:pStyle w:val="ListParagraph"/>
        <w:spacing w:after="0" w:line="240" w:lineRule="auto"/>
        <w:ind w:left="1440" w:right="616"/>
        <w:rPr>
          <w:rFonts w:ascii="Arial" w:eastAsia="Times New Roman" w:hAnsi="Arial" w:cs="Arial"/>
          <w:color w:val="222222"/>
          <w:sz w:val="16"/>
          <w:szCs w:val="16"/>
        </w:rPr>
      </w:pPr>
      <w:r w:rsidRPr="00B176B4">
        <w:rPr>
          <w:rFonts w:ascii="Arial" w:eastAsia="Times New Roman" w:hAnsi="Arial" w:cs="Arial"/>
          <w:color w:val="222222"/>
          <w:sz w:val="16"/>
          <w:szCs w:val="16"/>
        </w:rPr>
        <w:t xml:space="preserve">*To ensure the highest quality in services, we require source documents and lab processing manuals </w:t>
      </w:r>
      <w:proofErr w:type="gramStart"/>
      <w:r w:rsidRPr="00B176B4">
        <w:rPr>
          <w:rFonts w:ascii="Arial" w:eastAsia="Times New Roman" w:hAnsi="Arial" w:cs="Arial"/>
          <w:color w:val="222222"/>
          <w:sz w:val="16"/>
          <w:szCs w:val="16"/>
        </w:rPr>
        <w:t>be</w:t>
      </w:r>
      <w:proofErr w:type="gramEnd"/>
      <w:r w:rsidRPr="00B176B4">
        <w:rPr>
          <w:rFonts w:ascii="Arial" w:eastAsia="Times New Roman" w:hAnsi="Arial" w:cs="Arial"/>
          <w:color w:val="222222"/>
          <w:sz w:val="16"/>
          <w:szCs w:val="16"/>
        </w:rPr>
        <w:t xml:space="preserve"> in </w:t>
      </w:r>
      <w:r w:rsidR="00BC428A">
        <w:rPr>
          <w:rFonts w:ascii="Arial" w:eastAsia="Times New Roman" w:hAnsi="Arial" w:cs="Arial"/>
          <w:color w:val="222222"/>
          <w:sz w:val="16"/>
          <w:szCs w:val="16"/>
        </w:rPr>
        <w:t xml:space="preserve">our CRU </w:t>
      </w:r>
      <w:r w:rsidRPr="00B176B4">
        <w:rPr>
          <w:rFonts w:ascii="Arial" w:eastAsia="Times New Roman" w:hAnsi="Arial" w:cs="Arial"/>
          <w:color w:val="222222"/>
          <w:sz w:val="16"/>
          <w:szCs w:val="16"/>
        </w:rPr>
        <w:t xml:space="preserve">standard template.  If you need assistance in translating your study source documents and lab processing </w:t>
      </w:r>
      <w:r w:rsidR="00C2646C">
        <w:rPr>
          <w:rFonts w:ascii="Arial" w:eastAsia="Times New Roman" w:hAnsi="Arial" w:cs="Arial"/>
          <w:color w:val="222222"/>
          <w:sz w:val="16"/>
          <w:szCs w:val="16"/>
        </w:rPr>
        <w:t xml:space="preserve">manuals </w:t>
      </w:r>
      <w:r w:rsidRPr="00B176B4">
        <w:rPr>
          <w:rFonts w:ascii="Arial" w:eastAsia="Times New Roman" w:hAnsi="Arial" w:cs="Arial"/>
          <w:color w:val="222222"/>
          <w:sz w:val="16"/>
          <w:szCs w:val="16"/>
        </w:rPr>
        <w:t xml:space="preserve">into </w:t>
      </w:r>
      <w:r w:rsidR="00BC428A">
        <w:rPr>
          <w:rFonts w:ascii="Arial" w:eastAsia="Times New Roman" w:hAnsi="Arial" w:cs="Arial"/>
          <w:color w:val="222222"/>
          <w:sz w:val="16"/>
          <w:szCs w:val="16"/>
        </w:rPr>
        <w:t>the CRU</w:t>
      </w:r>
      <w:r w:rsidRPr="00B176B4">
        <w:rPr>
          <w:rFonts w:ascii="Arial" w:eastAsia="Times New Roman" w:hAnsi="Arial" w:cs="Arial"/>
          <w:color w:val="222222"/>
          <w:sz w:val="16"/>
          <w:szCs w:val="16"/>
        </w:rPr>
        <w:t xml:space="preserve"> format, our team will </w:t>
      </w:r>
      <w:r w:rsidR="00C2646C">
        <w:rPr>
          <w:rFonts w:ascii="Arial" w:eastAsia="Times New Roman" w:hAnsi="Arial" w:cs="Arial"/>
          <w:color w:val="222222"/>
          <w:sz w:val="16"/>
          <w:szCs w:val="16"/>
        </w:rPr>
        <w:t>be happy to help your get your materials ready</w:t>
      </w:r>
      <w:r w:rsidRPr="00B176B4">
        <w:rPr>
          <w:rFonts w:ascii="Arial" w:eastAsia="Times New Roman" w:hAnsi="Arial" w:cs="Arial"/>
          <w:color w:val="222222"/>
          <w:sz w:val="16"/>
          <w:szCs w:val="16"/>
        </w:rPr>
        <w:t>.*</w:t>
      </w:r>
    </w:p>
    <w:p w:rsidR="00A61D79" w:rsidRDefault="00A61D79" w:rsidP="00A61D7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4"/>
        </w:rPr>
      </w:pPr>
    </w:p>
    <w:p w:rsidR="00A61D79" w:rsidRPr="000C69E4" w:rsidRDefault="00A61D79" w:rsidP="00A61D7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4"/>
        </w:rPr>
      </w:pPr>
      <w:r w:rsidRPr="000C69E4">
        <w:rPr>
          <w:rFonts w:ascii="Arial" w:eastAsia="Times New Roman" w:hAnsi="Arial" w:cs="Arial"/>
          <w:b/>
          <w:color w:val="222222"/>
          <w:sz w:val="20"/>
          <w:szCs w:val="24"/>
        </w:rPr>
        <w:t xml:space="preserve">Studies </w:t>
      </w:r>
      <w:r>
        <w:rPr>
          <w:rFonts w:ascii="Arial" w:eastAsia="Times New Roman" w:hAnsi="Arial" w:cs="Arial"/>
          <w:b/>
          <w:color w:val="222222"/>
          <w:sz w:val="20"/>
          <w:szCs w:val="24"/>
        </w:rPr>
        <w:t xml:space="preserve">are responsible for ensuring they have reviewed and comply with all University policies relating to research execution.  </w:t>
      </w:r>
      <w:r w:rsidRPr="000C69E4">
        <w:rPr>
          <w:rFonts w:ascii="Arial" w:eastAsia="Times New Roman" w:hAnsi="Arial" w:cs="Arial"/>
          <w:b/>
          <w:color w:val="222222"/>
          <w:sz w:val="20"/>
          <w:szCs w:val="24"/>
        </w:rPr>
        <w:t xml:space="preserve">These can be found at: </w:t>
      </w:r>
      <w:hyperlink r:id="rId9" w:history="1">
        <w:r w:rsidRPr="000C69E4">
          <w:rPr>
            <w:rStyle w:val="Hyperlink"/>
            <w:rFonts w:ascii="Arial" w:hAnsi="Arial" w:cs="Arial"/>
            <w:b/>
            <w:sz w:val="18"/>
            <w:szCs w:val="20"/>
          </w:rPr>
          <w:t>http://policy.umn.edu/Policies/Research/index.htm</w:t>
        </w:r>
      </w:hyperlink>
    </w:p>
    <w:p w:rsidR="0086490C" w:rsidRDefault="0086490C" w:rsidP="002577D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8759A" w:rsidRDefault="00A8759A" w:rsidP="002577D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082A96" w:rsidRPr="00870551" w:rsidRDefault="00082A96" w:rsidP="00082A96">
      <w:pPr>
        <w:spacing w:after="0" w:line="240" w:lineRule="auto"/>
        <w:rPr>
          <w:rFonts w:ascii="Arial" w:eastAsia="Times New Roman" w:hAnsi="Arial" w:cs="Arial"/>
          <w:b/>
          <w:color w:val="222222"/>
          <w:szCs w:val="24"/>
          <w:u w:val="single"/>
        </w:rPr>
      </w:pPr>
      <w:r w:rsidRPr="00870551">
        <w:rPr>
          <w:rFonts w:ascii="Arial" w:eastAsia="Times New Roman" w:hAnsi="Arial" w:cs="Arial"/>
          <w:b/>
          <w:color w:val="222222"/>
          <w:szCs w:val="24"/>
          <w:u w:val="single"/>
        </w:rPr>
        <w:t>Who Do I Contact If I Have Questions?</w:t>
      </w:r>
    </w:p>
    <w:p w:rsidR="00082A96" w:rsidRPr="00870551" w:rsidRDefault="00082A96" w:rsidP="00082A96">
      <w:pPr>
        <w:spacing w:after="0" w:line="240" w:lineRule="auto"/>
        <w:rPr>
          <w:rFonts w:ascii="Arial" w:eastAsia="Times New Roman" w:hAnsi="Arial" w:cs="Arial"/>
          <w:color w:val="222222"/>
          <w:sz w:val="8"/>
          <w:szCs w:val="10"/>
        </w:rPr>
      </w:pPr>
    </w:p>
    <w:p w:rsidR="00082A96" w:rsidRPr="00834A93" w:rsidRDefault="00082A96" w:rsidP="00082A96">
      <w:pPr>
        <w:spacing w:after="0" w:line="240" w:lineRule="auto"/>
        <w:ind w:right="-180"/>
        <w:rPr>
          <w:rFonts w:ascii="Arial" w:hAnsi="Arial" w:cs="Arial"/>
          <w:color w:val="222222"/>
          <w:sz w:val="20"/>
        </w:rPr>
      </w:pPr>
      <w:r w:rsidRPr="00834A93">
        <w:rPr>
          <w:rFonts w:ascii="Arial" w:hAnsi="Arial" w:cs="Arial"/>
          <w:color w:val="222222"/>
          <w:sz w:val="20"/>
        </w:rPr>
        <w:t>Kayla Harrison, RN or Lisa Anderson, RN will be your contact.  You can reach them at (612) 624-0104 or</w:t>
      </w:r>
      <w:r w:rsidR="00EF692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 w:rsidR="00EF692D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kharriso10@umphysicians.umn.edu</w:t>
        </w:r>
      </w:hyperlink>
      <w:r w:rsidR="00EF692D">
        <w:t xml:space="preserve"> or </w:t>
      </w:r>
      <w:hyperlink r:id="rId11" w:tgtFrame="_blank" w:history="1">
        <w:r w:rsidR="00EF692D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landerso11@umphysicians.umn.edu</w:t>
        </w:r>
      </w:hyperlink>
      <w:r w:rsidRPr="00834A93">
        <w:rPr>
          <w:rFonts w:ascii="Arial" w:hAnsi="Arial" w:cs="Arial"/>
          <w:sz w:val="20"/>
        </w:rPr>
        <w:t xml:space="preserve"> </w:t>
      </w:r>
    </w:p>
    <w:p w:rsidR="00082A96" w:rsidRPr="00834A93" w:rsidRDefault="00082A96" w:rsidP="00082A96">
      <w:pPr>
        <w:pStyle w:val="ListParagraph"/>
        <w:spacing w:after="0" w:line="240" w:lineRule="auto"/>
        <w:rPr>
          <w:rFonts w:ascii="Arial" w:hAnsi="Arial" w:cs="Arial"/>
          <w:color w:val="222222"/>
          <w:sz w:val="20"/>
        </w:rPr>
      </w:pPr>
    </w:p>
    <w:p w:rsidR="00A8759A" w:rsidRPr="005F7A11" w:rsidRDefault="00082A96" w:rsidP="00DC3A95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834A93">
        <w:rPr>
          <w:rFonts w:ascii="Arial" w:hAnsi="Arial" w:cs="Arial"/>
          <w:color w:val="222222"/>
          <w:sz w:val="20"/>
        </w:rPr>
        <w:t xml:space="preserve">In their absence, you can reach out to:   </w:t>
      </w:r>
      <w:proofErr w:type="spellStart"/>
      <w:r w:rsidR="00BC428A">
        <w:rPr>
          <w:rFonts w:ascii="Arial" w:hAnsi="Arial" w:cs="Arial"/>
          <w:color w:val="222222"/>
          <w:sz w:val="20"/>
        </w:rPr>
        <w:t>Adi</w:t>
      </w:r>
      <w:proofErr w:type="spellEnd"/>
      <w:r w:rsidR="00BC428A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BC428A">
        <w:rPr>
          <w:rFonts w:ascii="Arial" w:hAnsi="Arial" w:cs="Arial"/>
          <w:color w:val="222222"/>
          <w:sz w:val="20"/>
        </w:rPr>
        <w:t>Molvin</w:t>
      </w:r>
      <w:proofErr w:type="spellEnd"/>
      <w:r w:rsidRPr="00834A93">
        <w:rPr>
          <w:rFonts w:ascii="Arial" w:hAnsi="Arial" w:cs="Arial"/>
          <w:color w:val="222222"/>
          <w:sz w:val="20"/>
        </w:rPr>
        <w:t>, CR</w:t>
      </w:r>
      <w:r w:rsidR="00BC428A">
        <w:rPr>
          <w:rFonts w:ascii="Arial" w:hAnsi="Arial" w:cs="Arial"/>
          <w:color w:val="222222"/>
          <w:sz w:val="20"/>
        </w:rPr>
        <w:t>U</w:t>
      </w:r>
      <w:r w:rsidRPr="00834A93">
        <w:rPr>
          <w:rFonts w:ascii="Arial" w:hAnsi="Arial" w:cs="Arial"/>
          <w:color w:val="222222"/>
          <w:sz w:val="20"/>
        </w:rPr>
        <w:t xml:space="preserve"> Manager (612)-62</w:t>
      </w:r>
      <w:r w:rsidR="00BC428A">
        <w:rPr>
          <w:rFonts w:ascii="Arial" w:hAnsi="Arial" w:cs="Arial"/>
          <w:color w:val="222222"/>
          <w:sz w:val="20"/>
        </w:rPr>
        <w:t>6</w:t>
      </w:r>
      <w:r w:rsidRPr="00834A93">
        <w:rPr>
          <w:rFonts w:ascii="Arial" w:hAnsi="Arial" w:cs="Arial"/>
          <w:color w:val="222222"/>
          <w:sz w:val="20"/>
        </w:rPr>
        <w:t>-</w:t>
      </w:r>
      <w:r w:rsidR="00BC428A">
        <w:rPr>
          <w:rFonts w:ascii="Arial" w:hAnsi="Arial" w:cs="Arial"/>
          <w:color w:val="222222"/>
          <w:sz w:val="20"/>
        </w:rPr>
        <w:t>9142</w:t>
      </w:r>
      <w:r w:rsidRPr="00834A93">
        <w:rPr>
          <w:rFonts w:ascii="Arial" w:hAnsi="Arial" w:cs="Arial"/>
          <w:color w:val="222222"/>
          <w:sz w:val="20"/>
        </w:rPr>
        <w:t xml:space="preserve"> or </w:t>
      </w:r>
      <w:hyperlink r:id="rId12" w:history="1">
        <w:r w:rsidR="00EF692D" w:rsidRPr="00E758FA">
          <w:rPr>
            <w:rStyle w:val="Hyperlink"/>
            <w:rFonts w:ascii="Arial" w:hAnsi="Arial" w:cs="Arial"/>
            <w:sz w:val="20"/>
          </w:rPr>
          <w:t>amolvin10@umphysicians.umn.edu</w:t>
        </w:r>
      </w:hyperlink>
      <w:r w:rsidR="00EF692D">
        <w:rPr>
          <w:rFonts w:ascii="Arial" w:hAnsi="Arial" w:cs="Arial"/>
          <w:color w:val="222222"/>
          <w:sz w:val="20"/>
        </w:rPr>
        <w:t xml:space="preserve"> </w:t>
      </w:r>
    </w:p>
    <w:p w:rsidR="00DC3A95" w:rsidRDefault="00DC3A95" w:rsidP="005F7A11">
      <w:pPr>
        <w:spacing w:after="0"/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2577D8" w:rsidRPr="00DE53DC" w:rsidRDefault="002577D8" w:rsidP="005F7A11">
      <w:pPr>
        <w:spacing w:after="0"/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2577D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 look forward to working with you </w:t>
      </w:r>
      <w:r w:rsidRPr="00DE53DC">
        <w:rPr>
          <w:rFonts w:ascii="Arial" w:eastAsia="Times New Roman" w:hAnsi="Arial" w:cs="Arial"/>
          <w:b/>
          <w:color w:val="222222"/>
          <w:shd w:val="clear" w:color="auto" w:fill="FFFFFF"/>
        </w:rPr>
        <w:t>to make your research a success!</w:t>
      </w:r>
    </w:p>
    <w:sectPr w:rsidR="002577D8" w:rsidRPr="00DE53DC" w:rsidSect="00DC3A95">
      <w:headerReference w:type="default" r:id="rId13"/>
      <w:footerReference w:type="default" r:id="rId14"/>
      <w:pgSz w:w="15840" w:h="12240" w:orient="landscape"/>
      <w:pgMar w:top="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55" w:rsidRDefault="003B7E55" w:rsidP="004632C7">
      <w:pPr>
        <w:spacing w:after="0" w:line="240" w:lineRule="auto"/>
      </w:pPr>
      <w:r>
        <w:separator/>
      </w:r>
    </w:p>
  </w:endnote>
  <w:endnote w:type="continuationSeparator" w:id="0">
    <w:p w:rsidR="003B7E55" w:rsidRDefault="003B7E55" w:rsidP="0046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7" w:rsidRDefault="004632C7">
    <w:pPr>
      <w:pStyle w:val="Footer"/>
    </w:pPr>
  </w:p>
  <w:p w:rsidR="004632C7" w:rsidRDefault="005F7A11" w:rsidP="00A61D79">
    <w:pPr>
      <w:pStyle w:val="Footer"/>
      <w:jc w:val="right"/>
    </w:pPr>
    <w:r>
      <w:tab/>
    </w:r>
    <w:r>
      <w:tab/>
    </w:r>
    <w:r>
      <w:tab/>
    </w:r>
    <w:r>
      <w:tab/>
    </w:r>
    <w:r>
      <w:tab/>
      <w:t xml:space="preserve">Version Date: </w:t>
    </w:r>
    <w:r w:rsidR="00BC428A">
      <w:t>14Dec</w:t>
    </w:r>
    <w:r w:rsidR="00745E0B">
      <w:t>201</w:t>
    </w:r>
    <w:r w:rsidR="006728A5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55" w:rsidRDefault="003B7E55" w:rsidP="004632C7">
      <w:pPr>
        <w:spacing w:after="0" w:line="240" w:lineRule="auto"/>
      </w:pPr>
      <w:r>
        <w:separator/>
      </w:r>
    </w:p>
  </w:footnote>
  <w:footnote w:type="continuationSeparator" w:id="0">
    <w:p w:rsidR="003B7E55" w:rsidRDefault="003B7E55" w:rsidP="0046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7" w:rsidRPr="00BC428A" w:rsidRDefault="00BC428A">
    <w:pPr>
      <w:pStyle w:val="Header"/>
      <w:rPr>
        <w:b/>
        <w:sz w:val="28"/>
      </w:rPr>
    </w:pPr>
    <w:r w:rsidRPr="00BC428A">
      <w:rPr>
        <w:b/>
        <w:sz w:val="28"/>
      </w:rPr>
      <w:t>University of Minnesota H</w:t>
    </w:r>
    <w:r w:rsidR="00EF692D">
      <w:rPr>
        <w:b/>
        <w:sz w:val="28"/>
      </w:rPr>
      <w:t>ealth Clinical Research Unit (</w:t>
    </w:r>
    <w:proofErr w:type="spellStart"/>
    <w:r w:rsidR="00EF692D">
      <w:rPr>
        <w:b/>
        <w:sz w:val="28"/>
      </w:rPr>
      <w:t>M</w:t>
    </w:r>
    <w:r w:rsidRPr="00BC428A">
      <w:rPr>
        <w:b/>
        <w:sz w:val="28"/>
      </w:rPr>
      <w:t>Health</w:t>
    </w:r>
    <w:proofErr w:type="spellEnd"/>
    <w:r w:rsidRPr="00BC428A">
      <w:rPr>
        <w:b/>
        <w:sz w:val="28"/>
      </w:rPr>
      <w:t xml:space="preserve"> CRU)</w:t>
    </w:r>
  </w:p>
  <w:p w:rsidR="004632C7" w:rsidRDefault="0046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62F9"/>
    <w:multiLevelType w:val="hybridMultilevel"/>
    <w:tmpl w:val="4AA0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D34BE"/>
    <w:multiLevelType w:val="hybridMultilevel"/>
    <w:tmpl w:val="233E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4D34"/>
    <w:multiLevelType w:val="hybridMultilevel"/>
    <w:tmpl w:val="0E38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7"/>
    <w:rsid w:val="000240E7"/>
    <w:rsid w:val="00082A96"/>
    <w:rsid w:val="00093E3C"/>
    <w:rsid w:val="000C4393"/>
    <w:rsid w:val="000E606A"/>
    <w:rsid w:val="001C45D5"/>
    <w:rsid w:val="001F0A93"/>
    <w:rsid w:val="00256DFE"/>
    <w:rsid w:val="002577D8"/>
    <w:rsid w:val="00264E49"/>
    <w:rsid w:val="003779E8"/>
    <w:rsid w:val="003B7E55"/>
    <w:rsid w:val="004632C7"/>
    <w:rsid w:val="00565470"/>
    <w:rsid w:val="005C01FA"/>
    <w:rsid w:val="005F7A11"/>
    <w:rsid w:val="00627D43"/>
    <w:rsid w:val="00655C44"/>
    <w:rsid w:val="006728A5"/>
    <w:rsid w:val="00721050"/>
    <w:rsid w:val="00730ADE"/>
    <w:rsid w:val="00745E0B"/>
    <w:rsid w:val="007519C7"/>
    <w:rsid w:val="007D0639"/>
    <w:rsid w:val="00822D16"/>
    <w:rsid w:val="00841C41"/>
    <w:rsid w:val="00850F51"/>
    <w:rsid w:val="0086490C"/>
    <w:rsid w:val="00883290"/>
    <w:rsid w:val="008C0C0C"/>
    <w:rsid w:val="00951419"/>
    <w:rsid w:val="009C4F81"/>
    <w:rsid w:val="00A247B5"/>
    <w:rsid w:val="00A4797A"/>
    <w:rsid w:val="00A61D79"/>
    <w:rsid w:val="00A85704"/>
    <w:rsid w:val="00A8759A"/>
    <w:rsid w:val="00B06DE5"/>
    <w:rsid w:val="00B176B4"/>
    <w:rsid w:val="00B81CD8"/>
    <w:rsid w:val="00BC428A"/>
    <w:rsid w:val="00BD7B28"/>
    <w:rsid w:val="00BF6370"/>
    <w:rsid w:val="00C17362"/>
    <w:rsid w:val="00C2646C"/>
    <w:rsid w:val="00C5151D"/>
    <w:rsid w:val="00CB0D8E"/>
    <w:rsid w:val="00D16B36"/>
    <w:rsid w:val="00D47289"/>
    <w:rsid w:val="00D56C18"/>
    <w:rsid w:val="00D71275"/>
    <w:rsid w:val="00DC3A95"/>
    <w:rsid w:val="00DE3FA0"/>
    <w:rsid w:val="00DE53DC"/>
    <w:rsid w:val="00EC4BB3"/>
    <w:rsid w:val="00ED2283"/>
    <w:rsid w:val="00EF692D"/>
    <w:rsid w:val="00F543B5"/>
    <w:rsid w:val="00FD142D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C7"/>
  </w:style>
  <w:style w:type="paragraph" w:styleId="Footer">
    <w:name w:val="footer"/>
    <w:basedOn w:val="Normal"/>
    <w:link w:val="FooterChar"/>
    <w:uiPriority w:val="99"/>
    <w:unhideWhenUsed/>
    <w:rsid w:val="004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C7"/>
  </w:style>
  <w:style w:type="paragraph" w:styleId="BalloonText">
    <w:name w:val="Balloon Text"/>
    <w:basedOn w:val="Normal"/>
    <w:link w:val="BalloonTextChar"/>
    <w:uiPriority w:val="99"/>
    <w:semiHidden/>
    <w:unhideWhenUsed/>
    <w:rsid w:val="0046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C7"/>
  </w:style>
  <w:style w:type="paragraph" w:styleId="Footer">
    <w:name w:val="footer"/>
    <w:basedOn w:val="Normal"/>
    <w:link w:val="FooterChar"/>
    <w:uiPriority w:val="99"/>
    <w:unhideWhenUsed/>
    <w:rsid w:val="004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C7"/>
  </w:style>
  <w:style w:type="paragraph" w:styleId="BalloonText">
    <w:name w:val="Balloon Text"/>
    <w:basedOn w:val="Normal"/>
    <w:link w:val="BalloonTextChar"/>
    <w:uiPriority w:val="99"/>
    <w:semiHidden/>
    <w:unhideWhenUsed/>
    <w:rsid w:val="0046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olvin10@umphysicians.um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erso11@umphysicians.um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arriso10@umphysicians.umn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icy.umn.edu/Policies/Research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FF81-9533-4859-A2B3-6DACE42C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Broberg</dc:creator>
  <cp:lastModifiedBy>Owner</cp:lastModifiedBy>
  <cp:revision>2</cp:revision>
  <cp:lastPrinted>2012-11-02T15:11:00Z</cp:lastPrinted>
  <dcterms:created xsi:type="dcterms:W3CDTF">2017-12-19T19:44:00Z</dcterms:created>
  <dcterms:modified xsi:type="dcterms:W3CDTF">2017-12-19T19:44:00Z</dcterms:modified>
</cp:coreProperties>
</file>